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260549">
      <w:pPr>
        <w:wordWrap/>
        <w:autoSpaceDE/>
        <w:autoSpaceDN/>
        <w:adjustRightInd/>
        <w:snapToGrid/>
        <w:spacing w:line="360" w:lineRule="exact"/>
        <w:ind w:firstLine="0" w:firstLineChars="0"/>
        <w:rPr>
          <w:rFonts w:hint="default" w:cstheme="minorBidi"/>
          <w:sz w:val="32"/>
          <w:szCs w:val="32"/>
          <w:lang w:val="en-US" w:eastAsia="zh-CN"/>
        </w:rPr>
      </w:pPr>
      <w:r>
        <w:rPr>
          <w:rFonts w:hint="eastAsia" w:cstheme="minorBidi"/>
          <w:sz w:val="32"/>
          <w:szCs w:val="32"/>
          <w:lang w:val="en-US" w:eastAsia="zh-CN"/>
        </w:rPr>
        <w:t>附件3</w:t>
      </w:r>
    </w:p>
    <w:p w14:paraId="3D75CD92">
      <w:pPr>
        <w:snapToGrid w:val="0"/>
        <w:spacing w:after="217" w:afterLines="0" w:line="240" w:lineRule="auto"/>
        <w:ind w:firstLine="0" w:firstLineChars="0"/>
        <w:jc w:val="center"/>
        <w:rPr>
          <w:rFonts w:ascii="方正小标宋简体" w:hAnsi="Calibri" w:eastAsia="方正小标宋简体" w:cs="Times New Roman"/>
          <w:sz w:val="44"/>
          <w:szCs w:val="28"/>
        </w:rPr>
      </w:pPr>
      <w:bookmarkStart w:id="0" w:name="_GoBack"/>
      <w:r>
        <w:rPr>
          <w:rFonts w:hint="eastAsia" w:ascii="小标宋" w:hAnsi="Calibri" w:eastAsia="小标宋" w:cs="Times New Roman"/>
          <w:sz w:val="44"/>
          <w:szCs w:val="28"/>
        </w:rPr>
        <w:t>北京林业大学“十佳班主任”评审标准参考对照表</w:t>
      </w:r>
    </w:p>
    <w:bookmarkEnd w:id="0"/>
    <w:tbl>
      <w:tblPr>
        <w:tblStyle w:val="2"/>
        <w:tblW w:w="0" w:type="auto"/>
        <w:tblInd w:w="33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12"/>
        <w:gridCol w:w="8963"/>
        <w:gridCol w:w="1769"/>
      </w:tblGrid>
      <w:tr w14:paraId="0B76041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3255" w:type="dxa"/>
            <w:vAlign w:val="center"/>
          </w:tcPr>
          <w:p w14:paraId="61BA3D72">
            <w:pPr>
              <w:spacing w:line="100" w:lineRule="atLeast"/>
              <w:ind w:firstLine="0" w:firstLineChars="0"/>
              <w:jc w:val="center"/>
              <w:rPr>
                <w:rFonts w:ascii="黑体" w:hAnsi="黑体" w:eastAsia="黑体" w:cs="Times New Roman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Times New Roman"/>
                <w:bCs/>
                <w:sz w:val="28"/>
                <w:szCs w:val="28"/>
              </w:rPr>
              <w:t>评分指标</w:t>
            </w:r>
          </w:p>
        </w:tc>
        <w:tc>
          <w:tcPr>
            <w:tcW w:w="9451" w:type="dxa"/>
            <w:vAlign w:val="center"/>
          </w:tcPr>
          <w:p w14:paraId="439323EE">
            <w:pPr>
              <w:spacing w:line="100" w:lineRule="atLeast"/>
              <w:ind w:firstLine="0" w:firstLineChars="0"/>
              <w:jc w:val="center"/>
              <w:rPr>
                <w:rFonts w:ascii="黑体" w:hAnsi="黑体" w:eastAsia="黑体" w:cs="Times New Roman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Times New Roman"/>
                <w:bCs/>
                <w:sz w:val="28"/>
                <w:szCs w:val="28"/>
              </w:rPr>
              <w:t>评分细则</w:t>
            </w:r>
          </w:p>
        </w:tc>
        <w:tc>
          <w:tcPr>
            <w:tcW w:w="1844" w:type="dxa"/>
            <w:vAlign w:val="center"/>
          </w:tcPr>
          <w:p w14:paraId="0050D987">
            <w:pPr>
              <w:spacing w:line="100" w:lineRule="atLeast"/>
              <w:ind w:firstLine="0" w:firstLineChars="0"/>
              <w:jc w:val="center"/>
              <w:rPr>
                <w:rFonts w:ascii="黑体" w:hAnsi="黑体" w:eastAsia="黑体" w:cs="Times New Roman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Times New Roman"/>
                <w:bCs/>
                <w:sz w:val="28"/>
                <w:szCs w:val="28"/>
              </w:rPr>
              <w:t>分值</w:t>
            </w:r>
          </w:p>
        </w:tc>
      </w:tr>
      <w:tr w14:paraId="2E5CCF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55" w:type="dxa"/>
            <w:vAlign w:val="center"/>
          </w:tcPr>
          <w:p w14:paraId="539B88A3">
            <w:pPr>
              <w:spacing w:line="100" w:lineRule="atLeast"/>
              <w:ind w:firstLine="0" w:firstLineChars="0"/>
              <w:jc w:val="center"/>
              <w:rPr>
                <w:rFonts w:ascii="仿宋_GB2312" w:hAnsi="Calibri" w:cs="Times New Roman"/>
                <w:sz w:val="24"/>
                <w:szCs w:val="24"/>
              </w:rPr>
            </w:pPr>
            <w:r>
              <w:rPr>
                <w:rFonts w:hint="eastAsia" w:ascii="仿宋_GB2312" w:hAnsi="Calibri" w:cs="Times New Roman"/>
                <w:sz w:val="24"/>
                <w:szCs w:val="24"/>
              </w:rPr>
              <w:t>指导班级建设与班级管理</w:t>
            </w:r>
          </w:p>
        </w:tc>
        <w:tc>
          <w:tcPr>
            <w:tcW w:w="9451" w:type="dxa"/>
            <w:vAlign w:val="center"/>
          </w:tcPr>
          <w:p w14:paraId="52E87228">
            <w:pPr>
              <w:spacing w:line="100" w:lineRule="atLeast"/>
              <w:ind w:firstLine="0" w:firstLineChars="0"/>
              <w:rPr>
                <w:rFonts w:ascii="仿宋_GB2312" w:hAnsi="Calibri" w:cs="Times New Roman"/>
                <w:b/>
                <w:sz w:val="28"/>
                <w:szCs w:val="28"/>
              </w:rPr>
            </w:pPr>
            <w:r>
              <w:rPr>
                <w:rFonts w:hint="eastAsia" w:ascii="仿宋_GB2312" w:hAnsi="Calibri" w:cs="Times New Roman"/>
                <w:sz w:val="24"/>
                <w:szCs w:val="24"/>
              </w:rPr>
              <w:t>开展班级学生骨干的遴选、培养、激励工作，指导制定班级管理制度，加强班级文化建设，提升班级凝聚力。开展学生安全教育，做好班级安全管理。</w:t>
            </w:r>
          </w:p>
        </w:tc>
        <w:tc>
          <w:tcPr>
            <w:tcW w:w="1844" w:type="dxa"/>
            <w:vAlign w:val="center"/>
          </w:tcPr>
          <w:p w14:paraId="764A8110">
            <w:pPr>
              <w:spacing w:line="100" w:lineRule="atLeast"/>
              <w:ind w:firstLine="0" w:firstLineChars="0"/>
              <w:jc w:val="center"/>
              <w:rPr>
                <w:rFonts w:ascii="仿宋_GB2312" w:hAnsi="Calibri" w:cs="Times New Roman"/>
                <w:sz w:val="28"/>
                <w:szCs w:val="28"/>
              </w:rPr>
            </w:pPr>
            <w:r>
              <w:rPr>
                <w:rFonts w:ascii="仿宋_GB2312" w:hAnsi="Calibri" w:cs="Times New Roman"/>
                <w:sz w:val="28"/>
                <w:szCs w:val="28"/>
              </w:rPr>
              <w:t>20</w:t>
            </w:r>
          </w:p>
        </w:tc>
      </w:tr>
      <w:tr w14:paraId="5F8C2D5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3255" w:type="dxa"/>
            <w:vAlign w:val="center"/>
          </w:tcPr>
          <w:p w14:paraId="14BBA5C7">
            <w:pPr>
              <w:spacing w:line="100" w:lineRule="atLeast"/>
              <w:ind w:firstLine="0" w:firstLineChars="0"/>
              <w:jc w:val="center"/>
              <w:rPr>
                <w:rFonts w:ascii="仿宋_GB2312" w:hAnsi="Calibri" w:cs="Times New Roman"/>
                <w:sz w:val="24"/>
                <w:szCs w:val="24"/>
              </w:rPr>
            </w:pPr>
            <w:r>
              <w:rPr>
                <w:rFonts w:hint="eastAsia" w:ascii="仿宋_GB2312" w:hAnsi="Calibri" w:cs="Times New Roman"/>
                <w:sz w:val="24"/>
                <w:szCs w:val="24"/>
              </w:rPr>
              <w:t>学业指导与学风建设</w:t>
            </w:r>
          </w:p>
        </w:tc>
        <w:tc>
          <w:tcPr>
            <w:tcW w:w="9451" w:type="dxa"/>
            <w:vAlign w:val="center"/>
          </w:tcPr>
          <w:p w14:paraId="3C92F10C">
            <w:pPr>
              <w:spacing w:line="100" w:lineRule="atLeast"/>
              <w:ind w:firstLine="0" w:firstLineChars="0"/>
              <w:jc w:val="left"/>
              <w:rPr>
                <w:rFonts w:ascii="仿宋_GB2312" w:hAnsi="Calibri" w:cs="Times New Roman"/>
                <w:bCs/>
                <w:sz w:val="24"/>
                <w:szCs w:val="24"/>
              </w:rPr>
            </w:pPr>
            <w:r>
              <w:rPr>
                <w:rFonts w:hint="eastAsia" w:ascii="仿宋_GB2312" w:hAnsi="Calibri" w:cs="Times New Roman"/>
                <w:bCs/>
                <w:sz w:val="24"/>
                <w:szCs w:val="24"/>
              </w:rPr>
              <w:t>指导学生了解专业，</w:t>
            </w:r>
            <w:r>
              <w:rPr>
                <w:rFonts w:hint="eastAsia" w:ascii="仿宋_GB2312" w:hAnsi="Calibri" w:cs="Times New Roman"/>
                <w:bCs/>
                <w:sz w:val="24"/>
                <w:szCs w:val="24"/>
                <w:lang w:val="en-US" w:eastAsia="zh-CN"/>
              </w:rPr>
              <w:t>深耕专业学习</w:t>
            </w:r>
            <w:r>
              <w:rPr>
                <w:rFonts w:hint="eastAsia" w:ascii="仿宋_GB2312" w:hAnsi="Calibri" w:cs="Times New Roman"/>
                <w:bCs/>
                <w:sz w:val="24"/>
                <w:szCs w:val="24"/>
              </w:rPr>
              <w:t>。引导学生养成良好的学习习惯，做好学业规划，树立学习目标。加强与授课教师</w:t>
            </w:r>
            <w:r>
              <w:rPr>
                <w:rFonts w:hint="eastAsia" w:ascii="仿宋_GB2312" w:hAnsi="Calibri" w:cs="Times New Roman"/>
                <w:bCs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Calibri" w:cs="Times New Roman"/>
                <w:bCs/>
                <w:sz w:val="24"/>
                <w:szCs w:val="24"/>
                <w:lang w:val="en-US" w:eastAsia="zh-CN"/>
              </w:rPr>
              <w:t>导师</w:t>
            </w:r>
            <w:r>
              <w:rPr>
                <w:rFonts w:hint="eastAsia" w:ascii="仿宋_GB2312" w:hAnsi="Calibri" w:cs="Times New Roman"/>
                <w:bCs/>
                <w:sz w:val="24"/>
                <w:szCs w:val="24"/>
              </w:rPr>
              <w:t>的沟通，及时帮扶学业困难学生。</w:t>
            </w:r>
          </w:p>
        </w:tc>
        <w:tc>
          <w:tcPr>
            <w:tcW w:w="1844" w:type="dxa"/>
            <w:vAlign w:val="center"/>
          </w:tcPr>
          <w:p w14:paraId="15A282BE">
            <w:pPr>
              <w:spacing w:line="100" w:lineRule="atLeast"/>
              <w:ind w:firstLine="0" w:firstLineChars="0"/>
              <w:jc w:val="center"/>
              <w:rPr>
                <w:rFonts w:ascii="仿宋_GB2312" w:hAnsi="Calibri" w:cs="Times New Roman"/>
                <w:sz w:val="28"/>
                <w:szCs w:val="28"/>
              </w:rPr>
            </w:pPr>
            <w:r>
              <w:rPr>
                <w:rFonts w:ascii="仿宋_GB2312" w:hAnsi="Calibri" w:cs="Times New Roman"/>
                <w:sz w:val="28"/>
                <w:szCs w:val="28"/>
              </w:rPr>
              <w:t>20</w:t>
            </w:r>
          </w:p>
        </w:tc>
      </w:tr>
      <w:tr w14:paraId="5770B87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" w:hRule="atLeast"/>
        </w:trPr>
        <w:tc>
          <w:tcPr>
            <w:tcW w:w="3255" w:type="dxa"/>
            <w:vAlign w:val="center"/>
          </w:tcPr>
          <w:p w14:paraId="4C29E288">
            <w:pPr>
              <w:spacing w:line="100" w:lineRule="atLeast"/>
              <w:ind w:firstLine="0" w:firstLineChars="0"/>
              <w:jc w:val="center"/>
              <w:rPr>
                <w:rFonts w:ascii="仿宋_GB2312" w:hAnsi="Calibri" w:cs="Times New Roman"/>
                <w:sz w:val="24"/>
                <w:szCs w:val="24"/>
              </w:rPr>
            </w:pPr>
            <w:r>
              <w:rPr>
                <w:rFonts w:hint="eastAsia" w:ascii="仿宋_GB2312" w:hAnsi="Calibri" w:cs="Times New Roman"/>
                <w:sz w:val="24"/>
                <w:szCs w:val="24"/>
              </w:rPr>
              <w:t>及时了解学生动态</w:t>
            </w:r>
          </w:p>
        </w:tc>
        <w:tc>
          <w:tcPr>
            <w:tcW w:w="9451" w:type="dxa"/>
            <w:vAlign w:val="center"/>
          </w:tcPr>
          <w:p w14:paraId="4E501C4F">
            <w:pPr>
              <w:spacing w:line="100" w:lineRule="atLeast"/>
              <w:ind w:firstLine="0" w:firstLineChars="0"/>
              <w:jc w:val="left"/>
              <w:rPr>
                <w:rFonts w:ascii="仿宋_GB2312" w:hAnsi="Calibri" w:cs="Times New Roman"/>
                <w:sz w:val="24"/>
                <w:szCs w:val="24"/>
              </w:rPr>
            </w:pPr>
            <w:r>
              <w:rPr>
                <w:rFonts w:hint="eastAsia" w:ascii="仿宋_GB2312" w:hAnsi="Calibri" w:cs="Times New Roman"/>
                <w:sz w:val="24"/>
                <w:szCs w:val="24"/>
              </w:rPr>
              <w:t>经常性参加班级活动，走进学生宿舍，加强与学生的互动交流，了解学生动态和心理状况，做好特殊学生的关心关怀与指导帮扶。</w:t>
            </w:r>
          </w:p>
        </w:tc>
        <w:tc>
          <w:tcPr>
            <w:tcW w:w="1844" w:type="dxa"/>
            <w:vAlign w:val="center"/>
          </w:tcPr>
          <w:p w14:paraId="42D342B8">
            <w:pPr>
              <w:spacing w:line="100" w:lineRule="atLeast"/>
              <w:ind w:firstLine="0" w:firstLineChars="0"/>
              <w:jc w:val="center"/>
              <w:rPr>
                <w:rFonts w:ascii="仿宋_GB2312" w:hAnsi="Calibri" w:cs="Times New Roman"/>
                <w:sz w:val="28"/>
                <w:szCs w:val="28"/>
              </w:rPr>
            </w:pPr>
            <w:r>
              <w:rPr>
                <w:rFonts w:hint="eastAsia" w:ascii="仿宋_GB2312" w:hAnsi="Calibri" w:cs="Times New Roman"/>
                <w:sz w:val="28"/>
                <w:szCs w:val="28"/>
              </w:rPr>
              <w:t>20</w:t>
            </w:r>
          </w:p>
        </w:tc>
      </w:tr>
      <w:tr w14:paraId="15B96CE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55" w:type="dxa"/>
            <w:vAlign w:val="center"/>
          </w:tcPr>
          <w:p w14:paraId="757DB806">
            <w:pPr>
              <w:spacing w:line="100" w:lineRule="atLeast"/>
              <w:ind w:firstLine="0" w:firstLineChars="0"/>
              <w:jc w:val="center"/>
              <w:rPr>
                <w:rFonts w:ascii="仿宋_GB2312" w:hAnsi="Calibri" w:cs="Times New Roman"/>
                <w:sz w:val="24"/>
                <w:szCs w:val="24"/>
              </w:rPr>
            </w:pPr>
            <w:r>
              <w:rPr>
                <w:rFonts w:hint="eastAsia" w:ascii="仿宋_GB2312" w:hAnsi="Calibri" w:cs="Times New Roman"/>
                <w:sz w:val="24"/>
                <w:szCs w:val="24"/>
              </w:rPr>
              <w:t>对学校、学院工作落实及沟通协调情况</w:t>
            </w:r>
          </w:p>
        </w:tc>
        <w:tc>
          <w:tcPr>
            <w:tcW w:w="9451" w:type="dxa"/>
            <w:vAlign w:val="center"/>
          </w:tcPr>
          <w:p w14:paraId="3BBC3DC5">
            <w:pPr>
              <w:spacing w:line="100" w:lineRule="atLeast"/>
              <w:ind w:firstLine="0" w:firstLineChars="0"/>
              <w:jc w:val="left"/>
              <w:rPr>
                <w:rFonts w:ascii="仿宋_GB2312" w:hAnsi="Calibri" w:cs="Times New Roman"/>
                <w:sz w:val="24"/>
                <w:szCs w:val="24"/>
              </w:rPr>
            </w:pPr>
            <w:r>
              <w:rPr>
                <w:rFonts w:hint="eastAsia" w:ascii="仿宋_GB2312" w:hAnsi="Calibri" w:cs="Times New Roman"/>
                <w:b/>
                <w:bCs/>
                <w:sz w:val="24"/>
                <w:szCs w:val="24"/>
              </w:rPr>
              <w:t>协助开展学生思想政治教育。</w:t>
            </w:r>
            <w:r>
              <w:rPr>
                <w:rFonts w:hint="eastAsia" w:ascii="仿宋_GB2312" w:hAnsi="Calibri" w:cs="Times New Roman"/>
                <w:sz w:val="24"/>
                <w:szCs w:val="24"/>
              </w:rPr>
              <w:t>与辅导员等思政工作队伍配合做好学生思想引领，教育学生树立正确的</w:t>
            </w:r>
            <w:r>
              <w:rPr>
                <w:rFonts w:hint="eastAsia" w:ascii="仿宋_GB2312" w:hAnsi="Calibri" w:cs="Times New Roman"/>
                <w:sz w:val="24"/>
                <w:szCs w:val="24"/>
                <w:lang w:val="en-US" w:eastAsia="zh-CN"/>
              </w:rPr>
              <w:t>三</w:t>
            </w:r>
            <w:r>
              <w:rPr>
                <w:rFonts w:hint="eastAsia" w:ascii="仿宋_GB2312" w:hAnsi="Calibri" w:cs="Times New Roman"/>
                <w:sz w:val="24"/>
                <w:szCs w:val="24"/>
              </w:rPr>
              <w:t>观，引导学生积极向党组织靠拢。</w:t>
            </w:r>
          </w:p>
          <w:p w14:paraId="5AD001BD">
            <w:pPr>
              <w:spacing w:line="100" w:lineRule="atLeast"/>
              <w:ind w:firstLine="0" w:firstLineChars="0"/>
              <w:jc w:val="left"/>
              <w:rPr>
                <w:rFonts w:ascii="仿宋_GB2312" w:hAnsi="Calibri" w:cs="Times New Roman"/>
                <w:sz w:val="24"/>
                <w:szCs w:val="24"/>
              </w:rPr>
            </w:pPr>
            <w:r>
              <w:rPr>
                <w:rFonts w:hint="eastAsia" w:ascii="仿宋_GB2312" w:hAnsi="Calibri" w:cs="Times New Roman"/>
                <w:b/>
                <w:bCs/>
                <w:sz w:val="24"/>
                <w:szCs w:val="24"/>
              </w:rPr>
              <w:t>协助做好学生职业生涯规划与就业指导。</w:t>
            </w:r>
            <w:r>
              <w:rPr>
                <w:rFonts w:hint="eastAsia" w:ascii="仿宋_GB2312" w:hAnsi="Calibri" w:cs="Times New Roman"/>
                <w:sz w:val="24"/>
                <w:szCs w:val="24"/>
              </w:rPr>
              <w:t>从专业发展和学生成长角度给予学生职业建议，引导学生树立正确的择业观、就业观，帮助学生积极就业。</w:t>
            </w:r>
          </w:p>
          <w:p w14:paraId="7A9FCFF0">
            <w:pPr>
              <w:spacing w:line="100" w:lineRule="atLeast"/>
              <w:ind w:firstLine="0" w:firstLineChars="0"/>
              <w:jc w:val="left"/>
              <w:rPr>
                <w:rFonts w:ascii="仿宋_GB2312" w:hAnsi="Calibri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Calibri" w:cs="Times New Roman"/>
                <w:b/>
                <w:bCs/>
                <w:sz w:val="24"/>
                <w:szCs w:val="24"/>
              </w:rPr>
              <w:t>协助学院做好学生突发事件处理。</w:t>
            </w:r>
          </w:p>
          <w:p w14:paraId="1E0470C4">
            <w:pPr>
              <w:spacing w:line="100" w:lineRule="atLeast"/>
              <w:ind w:firstLine="0" w:firstLineChars="0"/>
              <w:jc w:val="left"/>
              <w:rPr>
                <w:rFonts w:ascii="仿宋_GB2312" w:hAnsi="Calibri" w:cs="Times New Roman"/>
                <w:sz w:val="24"/>
                <w:szCs w:val="24"/>
              </w:rPr>
            </w:pPr>
            <w:r>
              <w:rPr>
                <w:rFonts w:hint="eastAsia" w:ascii="仿宋_GB2312" w:hAnsi="Calibri" w:cs="Times New Roman"/>
                <w:sz w:val="24"/>
                <w:szCs w:val="24"/>
              </w:rPr>
              <w:t>积极参与学校学院各项班主任工作培训；认真落实学院安排的各项班级事务，协助学院开展深度辅导工作；定期就班级和学生存在的问题和情况进行沟通解决。</w:t>
            </w:r>
          </w:p>
        </w:tc>
        <w:tc>
          <w:tcPr>
            <w:tcW w:w="1844" w:type="dxa"/>
            <w:vAlign w:val="center"/>
          </w:tcPr>
          <w:p w14:paraId="0B1C9C5B">
            <w:pPr>
              <w:spacing w:line="100" w:lineRule="atLeast"/>
              <w:ind w:firstLine="0" w:firstLineChars="0"/>
              <w:jc w:val="center"/>
              <w:rPr>
                <w:rFonts w:ascii="仿宋_GB2312" w:hAnsi="Calibri" w:cs="Times New Roman"/>
                <w:sz w:val="28"/>
                <w:szCs w:val="28"/>
              </w:rPr>
            </w:pPr>
            <w:r>
              <w:rPr>
                <w:rFonts w:hint="eastAsia" w:ascii="仿宋_GB2312" w:hAnsi="Calibri" w:cs="Times New Roman"/>
                <w:sz w:val="28"/>
                <w:szCs w:val="28"/>
              </w:rPr>
              <w:t>20</w:t>
            </w:r>
          </w:p>
        </w:tc>
      </w:tr>
      <w:tr w14:paraId="3D7A36E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55" w:type="dxa"/>
            <w:vAlign w:val="center"/>
          </w:tcPr>
          <w:p w14:paraId="2881BBD0">
            <w:pPr>
              <w:spacing w:line="100" w:lineRule="atLeast"/>
              <w:ind w:firstLine="0" w:firstLineChars="0"/>
              <w:jc w:val="center"/>
              <w:rPr>
                <w:rFonts w:ascii="仿宋_GB2312" w:hAnsi="Calibri" w:cs="Times New Roman"/>
                <w:sz w:val="24"/>
                <w:szCs w:val="24"/>
              </w:rPr>
            </w:pPr>
            <w:r>
              <w:rPr>
                <w:rFonts w:hint="eastAsia" w:ascii="仿宋_GB2312" w:hAnsi="Calibri" w:cs="Times New Roman"/>
                <w:sz w:val="24"/>
                <w:szCs w:val="24"/>
              </w:rPr>
              <w:t>班主任工作模式创新情况</w:t>
            </w:r>
          </w:p>
        </w:tc>
        <w:tc>
          <w:tcPr>
            <w:tcW w:w="9451" w:type="dxa"/>
            <w:vAlign w:val="center"/>
          </w:tcPr>
          <w:p w14:paraId="412A98A8">
            <w:pPr>
              <w:spacing w:line="100" w:lineRule="atLeast"/>
              <w:ind w:firstLine="0" w:firstLineChars="0"/>
              <w:jc w:val="left"/>
              <w:rPr>
                <w:rFonts w:ascii="仿宋_GB2312" w:hAnsi="Calibri" w:cs="Times New Roman"/>
                <w:sz w:val="24"/>
                <w:szCs w:val="24"/>
              </w:rPr>
            </w:pPr>
            <w:r>
              <w:rPr>
                <w:rFonts w:hint="eastAsia" w:ascii="仿宋_GB2312" w:hAnsi="Calibri" w:cs="Times New Roman"/>
                <w:sz w:val="24"/>
                <w:szCs w:val="24"/>
              </w:rPr>
              <w:t>热爱班主任工作，善于总结班主任工作经验，对于创新班主任工作模式有独特的见解</w:t>
            </w:r>
          </w:p>
        </w:tc>
        <w:tc>
          <w:tcPr>
            <w:tcW w:w="1844" w:type="dxa"/>
            <w:vAlign w:val="center"/>
          </w:tcPr>
          <w:p w14:paraId="2A997A14">
            <w:pPr>
              <w:spacing w:line="100" w:lineRule="atLeast"/>
              <w:ind w:firstLine="0" w:firstLineChars="0"/>
              <w:jc w:val="center"/>
              <w:rPr>
                <w:rFonts w:ascii="仿宋_GB2312" w:hAnsi="Calibri" w:cs="Times New Roman"/>
                <w:sz w:val="28"/>
                <w:szCs w:val="28"/>
              </w:rPr>
            </w:pPr>
            <w:r>
              <w:rPr>
                <w:rFonts w:hint="eastAsia" w:ascii="仿宋_GB2312" w:hAnsi="Calibri" w:cs="Times New Roman"/>
                <w:sz w:val="28"/>
                <w:szCs w:val="28"/>
              </w:rPr>
              <w:t>10</w:t>
            </w:r>
          </w:p>
        </w:tc>
      </w:tr>
      <w:tr w14:paraId="40B479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55" w:type="dxa"/>
            <w:vAlign w:val="center"/>
          </w:tcPr>
          <w:p w14:paraId="5A625C70">
            <w:pPr>
              <w:spacing w:line="100" w:lineRule="atLeast"/>
              <w:ind w:firstLine="0" w:firstLineChars="0"/>
              <w:jc w:val="center"/>
              <w:rPr>
                <w:rFonts w:ascii="仿宋_GB2312" w:hAnsi="Calibri" w:cs="Times New Roman"/>
                <w:sz w:val="24"/>
                <w:szCs w:val="24"/>
              </w:rPr>
            </w:pPr>
            <w:r>
              <w:rPr>
                <w:rFonts w:hint="eastAsia" w:ascii="仿宋_GB2312" w:hAnsi="Calibri" w:cs="Times New Roman"/>
                <w:sz w:val="24"/>
                <w:szCs w:val="24"/>
              </w:rPr>
              <w:t>综合印象分</w:t>
            </w:r>
          </w:p>
        </w:tc>
        <w:tc>
          <w:tcPr>
            <w:tcW w:w="9451" w:type="dxa"/>
            <w:vAlign w:val="center"/>
          </w:tcPr>
          <w:p w14:paraId="2441ACAF">
            <w:pPr>
              <w:spacing w:line="100" w:lineRule="atLeast"/>
              <w:ind w:firstLine="0" w:firstLineChars="0"/>
              <w:jc w:val="left"/>
              <w:rPr>
                <w:rFonts w:ascii="仿宋_GB2312" w:hAnsi="Calibri" w:cs="Times New Roman"/>
                <w:sz w:val="24"/>
                <w:szCs w:val="24"/>
              </w:rPr>
            </w:pPr>
            <w:r>
              <w:rPr>
                <w:rFonts w:hint="eastAsia" w:ascii="仿宋_GB2312" w:hAnsi="Calibri" w:cs="Times New Roman"/>
                <w:sz w:val="24"/>
                <w:szCs w:val="24"/>
              </w:rPr>
              <w:t>现场答辩的综合表现情况；</w:t>
            </w:r>
            <w:r>
              <w:rPr>
                <w:rFonts w:ascii="仿宋_GB2312" w:hAnsi="Calibri" w:cs="Times New Roman"/>
                <w:sz w:val="24"/>
                <w:szCs w:val="24"/>
              </w:rPr>
              <w:t>班主任基础业务能力</w:t>
            </w:r>
            <w:r>
              <w:rPr>
                <w:rFonts w:hint="eastAsia" w:ascii="仿宋_GB2312" w:hAnsi="Calibri" w:cs="Times New Roman"/>
                <w:sz w:val="24"/>
                <w:szCs w:val="24"/>
              </w:rPr>
              <w:t>是否扎实，是否</w:t>
            </w:r>
            <w:r>
              <w:rPr>
                <w:rFonts w:ascii="仿宋_GB2312" w:hAnsi="Calibri" w:cs="Times New Roman"/>
                <w:sz w:val="24"/>
                <w:szCs w:val="24"/>
              </w:rPr>
              <w:t>充分掌握学生实际情况</w:t>
            </w:r>
            <w:r>
              <w:rPr>
                <w:rFonts w:hint="eastAsia" w:ascii="仿宋_GB2312" w:hAnsi="Calibri" w:cs="Times New Roman"/>
                <w:sz w:val="24"/>
                <w:szCs w:val="24"/>
              </w:rPr>
              <w:t>。计时器到时报警声结束，候选人陈述答辩仍未结束，此项不超过4分。</w:t>
            </w:r>
          </w:p>
        </w:tc>
        <w:tc>
          <w:tcPr>
            <w:tcW w:w="1844" w:type="dxa"/>
            <w:vAlign w:val="center"/>
          </w:tcPr>
          <w:p w14:paraId="748756EC">
            <w:pPr>
              <w:spacing w:line="100" w:lineRule="atLeast"/>
              <w:ind w:firstLine="0" w:firstLineChars="0"/>
              <w:jc w:val="center"/>
              <w:rPr>
                <w:rFonts w:ascii="仿宋_GB2312" w:hAnsi="Calibri" w:cs="Times New Roman"/>
                <w:sz w:val="28"/>
                <w:szCs w:val="28"/>
              </w:rPr>
            </w:pPr>
            <w:r>
              <w:rPr>
                <w:rFonts w:hint="eastAsia" w:ascii="仿宋_GB2312" w:hAnsi="Calibri" w:cs="Times New Roman"/>
                <w:sz w:val="28"/>
                <w:szCs w:val="28"/>
              </w:rPr>
              <w:t>10</w:t>
            </w:r>
          </w:p>
        </w:tc>
      </w:tr>
    </w:tbl>
    <w:p w14:paraId="1CEBE9ED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小标宋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4E756B"/>
    <w:rsid w:val="474E7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420" w:firstLineChars="200"/>
      <w:jc w:val="both"/>
    </w:pPr>
    <w:rPr>
      <w:rFonts w:ascii="Times New Roman" w:hAnsi="Times New Roman" w:eastAsia="仿宋_GB2312" w:cstheme="minorBidi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2026-09-29T11:50:00Z</dcterms:created>
  <dc:creator>duuuuc</dc:creator>
  <cp:lastModifiedBy>duuuuc</cp:lastModifiedBy>
  <dcterms:modified xsi:type="dcterms:W3CDTF">2026-09-29T11:50:38Z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34529A94C38F4D2394081E94AE198897_11</vt:lpwstr>
  </property>
  <property fmtid="{D5CDD505-2E9C-101B-9397-08002B2CF9AE}" pid="4" name="KSOTemplateDocerSaveRecord">
    <vt:lpwstr>eyJoZGlkIjoiMGVkZjgxNTEzYWJkY2JkZDMxNjNhYjJhMThlZGNmNzIiLCJ1c2VySWQiOiIzOTIxNTgyMjkifQ==</vt:lpwstr>
  </property>
</Properties>
</file>