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0"/>
        </w:rPr>
      </w:pPr>
      <w:bookmarkStart w:id="0" w:name="_GoBack"/>
      <w:r>
        <w:rPr>
          <w:rFonts w:hint="eastAsia" w:ascii="华文中宋" w:hAnsi="华文中宋" w:eastAsia="华文中宋"/>
          <w:sz w:val="36"/>
          <w:szCs w:val="30"/>
        </w:rPr>
        <w:t>人文社会科学学院优秀学生奖学金评定实施办法</w:t>
      </w:r>
    </w:p>
    <w:bookmarkEnd w:id="0"/>
    <w:p>
      <w:pPr>
        <w:jc w:val="center"/>
        <w:rPr>
          <w:rFonts w:hint="eastAsia" w:ascii="华文中宋" w:hAnsi="华文中宋" w:eastAsia="华文中宋"/>
          <w:sz w:val="36"/>
          <w:szCs w:val="30"/>
        </w:rPr>
      </w:pPr>
    </w:p>
    <w:p>
      <w:pPr>
        <w:ind w:firstLine="600" w:firstLineChars="200"/>
        <w:rPr>
          <w:rFonts w:ascii="仿宋_GB2312" w:eastAsia="仿宋_GB2312"/>
          <w:sz w:val="30"/>
          <w:szCs w:val="30"/>
        </w:rPr>
      </w:pPr>
      <w:r>
        <w:rPr>
          <w:rFonts w:hint="eastAsia" w:ascii="仿宋_GB2312" w:eastAsia="仿宋_GB2312"/>
          <w:sz w:val="30"/>
          <w:szCs w:val="30"/>
        </w:rPr>
        <w:t>优秀学生奖学金评定标准根据北林学发[2006]62号文件：《北京林业大学学生奖学金评定及管理条例》（见《北京林业大学学生管理规定》2015年8月编印）执行。</w:t>
      </w:r>
    </w:p>
    <w:p>
      <w:pPr>
        <w:ind w:firstLine="600" w:firstLineChars="200"/>
        <w:rPr>
          <w:rFonts w:ascii="仿宋_GB2312" w:eastAsia="仿宋_GB2312"/>
          <w:sz w:val="30"/>
          <w:szCs w:val="30"/>
        </w:rPr>
      </w:pPr>
      <w:r>
        <w:rPr>
          <w:rFonts w:hint="eastAsia" w:ascii="仿宋_GB2312" w:eastAsia="仿宋_GB2312"/>
          <w:sz w:val="30"/>
          <w:szCs w:val="30"/>
        </w:rPr>
        <w:t>一、优秀学生奖学金的评定条件及奖励办法</w:t>
      </w:r>
    </w:p>
    <w:p>
      <w:pPr>
        <w:ind w:firstLine="600" w:firstLineChars="200"/>
        <w:rPr>
          <w:rFonts w:ascii="仿宋_GB2312" w:hAnsi="宋体" w:eastAsia="仿宋_GB2312"/>
          <w:sz w:val="30"/>
          <w:szCs w:val="30"/>
        </w:rPr>
      </w:pPr>
      <w:r>
        <w:rPr>
          <w:rFonts w:hint="eastAsia" w:ascii="仿宋_GB2312" w:hAnsi="宋体" w:eastAsia="仿宋_GB2312"/>
          <w:sz w:val="30"/>
          <w:szCs w:val="30"/>
        </w:rPr>
        <w:t>1、符合第一章总则中奖学金评定的基本条件。</w:t>
      </w:r>
    </w:p>
    <w:p>
      <w:pPr>
        <w:ind w:firstLine="600" w:firstLineChars="200"/>
        <w:rPr>
          <w:rFonts w:ascii="仿宋_GB2312" w:hAnsi="宋体" w:eastAsia="仿宋_GB2312"/>
          <w:sz w:val="30"/>
          <w:szCs w:val="30"/>
        </w:rPr>
      </w:pPr>
      <w:r>
        <w:rPr>
          <w:rFonts w:hint="eastAsia" w:ascii="仿宋_GB2312" w:hAnsi="宋体" w:eastAsia="仿宋_GB2312"/>
          <w:sz w:val="30"/>
          <w:szCs w:val="30"/>
        </w:rPr>
        <w:t>2、具有较高的思想政治觉悟，热爱社会主义祖国，思想上进，尊敬师长，团结同学，关心集体，助人为乐，积极参加集体和学校的活动，爱护公物和国家财产，身心素质良好。</w:t>
      </w:r>
    </w:p>
    <w:p>
      <w:pPr>
        <w:ind w:firstLine="600" w:firstLineChars="200"/>
        <w:rPr>
          <w:rFonts w:hint="eastAsia" w:ascii="仿宋_GB2312" w:eastAsia="仿宋_GB2312"/>
          <w:sz w:val="30"/>
          <w:szCs w:val="30"/>
        </w:rPr>
      </w:pPr>
      <w:r>
        <w:rPr>
          <w:rFonts w:hint="eastAsia" w:ascii="仿宋_GB2312" w:hAnsi="宋体" w:eastAsia="仿宋_GB2312"/>
          <w:sz w:val="30"/>
          <w:szCs w:val="30"/>
        </w:rPr>
        <w:t>3、优秀学生一等奖学金，一次性奖励2000元，获奖比例为参评学生的3%；优秀学生二等奖学金，一次性奖励1000元，获奖比例为参评学生的10%；优秀学生三等奖学金，一次性奖励500元，获奖比例为参评学生的15%。</w:t>
      </w:r>
    </w:p>
    <w:p>
      <w:pPr>
        <w:ind w:firstLine="600" w:firstLineChars="200"/>
        <w:rPr>
          <w:rFonts w:hint="eastAsia" w:ascii="仿宋_GB2312" w:eastAsia="仿宋_GB2312"/>
          <w:sz w:val="30"/>
          <w:szCs w:val="30"/>
        </w:rPr>
      </w:pPr>
      <w:r>
        <w:rPr>
          <w:rFonts w:hint="eastAsia" w:ascii="仿宋_GB2312" w:eastAsia="仿宋_GB2312"/>
          <w:sz w:val="30"/>
          <w:szCs w:val="30"/>
        </w:rPr>
        <w:t>二、优秀学生奖学金的评定程序</w:t>
      </w:r>
    </w:p>
    <w:p>
      <w:pPr>
        <w:ind w:firstLine="600" w:firstLineChars="200"/>
        <w:rPr>
          <w:rFonts w:ascii="仿宋_GB2312" w:eastAsia="仿宋_GB2312"/>
          <w:sz w:val="30"/>
          <w:szCs w:val="30"/>
        </w:rPr>
      </w:pPr>
      <w:r>
        <w:rPr>
          <w:rFonts w:hint="eastAsia" w:ascii="仿宋_GB2312" w:eastAsia="仿宋_GB2312"/>
          <w:sz w:val="30"/>
          <w:szCs w:val="30"/>
        </w:rPr>
        <w:t>本年度优秀学生奖学金评定形式采取学年学积分与综合测评成绩相结合。</w:t>
      </w:r>
    </w:p>
    <w:p>
      <w:pPr>
        <w:ind w:firstLine="600" w:firstLineChars="200"/>
        <w:rPr>
          <w:rFonts w:hint="eastAsia" w:ascii="仿宋_GB2312" w:eastAsia="仿宋_GB2312"/>
          <w:sz w:val="30"/>
          <w:szCs w:val="30"/>
        </w:rPr>
      </w:pPr>
      <w:r>
        <w:rPr>
          <w:rFonts w:hint="eastAsia" w:ascii="仿宋_GB2312" w:eastAsia="仿宋_GB2312"/>
          <w:sz w:val="30"/>
          <w:szCs w:val="30"/>
        </w:rPr>
        <w:t>1、学年学积分为入围条件，入围的学生获得申请相应奖学金评定的资格。</w:t>
      </w:r>
    </w:p>
    <w:p>
      <w:pPr>
        <w:ind w:firstLine="600" w:firstLineChars="200"/>
        <w:rPr>
          <w:rFonts w:ascii="仿宋_GB2312" w:eastAsia="仿宋_GB2312"/>
          <w:sz w:val="30"/>
          <w:szCs w:val="30"/>
        </w:rPr>
      </w:pPr>
      <w:r>
        <w:rPr>
          <w:rFonts w:hint="eastAsia" w:ascii="仿宋_GB2312" w:eastAsia="仿宋_GB2312"/>
          <w:sz w:val="30"/>
          <w:szCs w:val="30"/>
        </w:rPr>
        <w:t>优秀学生一等奖学金学年学积分需在本年级本专业前5%，优秀学生二等奖学金学年学积分需在本年级本专业前20%，优秀学生三等奖学金学年学积分需在本年级本专业前38%。</w:t>
      </w:r>
    </w:p>
    <w:p>
      <w:pPr>
        <w:ind w:firstLine="600" w:firstLineChars="200"/>
        <w:rPr>
          <w:rFonts w:ascii="仿宋_GB2312" w:eastAsia="仿宋_GB2312"/>
          <w:sz w:val="30"/>
          <w:szCs w:val="30"/>
        </w:rPr>
      </w:pPr>
      <w:r>
        <w:rPr>
          <w:rFonts w:hint="eastAsia" w:ascii="仿宋_GB2312" w:eastAsia="仿宋_GB2312"/>
          <w:sz w:val="30"/>
          <w:szCs w:val="30"/>
        </w:rPr>
        <w:t>2、综合测评成绩为决定性条件，根据综合测评排名在学年学积分入围的学生中产生获得奖学金的人员。综合测评成绩排序在前但专业成绩未入围的学生不能参评相应级别的奖学金。专业成绩排名入围优秀学生一、二等奖学金，但在相应级别中未获得该奖项的学生，自动获得低一个级别的奖学金，专业成绩排名入围优秀学生三等奖学金，但在相应级别中未获得该奖项的学生，不获得奖学金奖学金。</w:t>
      </w:r>
    </w:p>
    <w:p>
      <w:pPr>
        <w:ind w:firstLine="600" w:firstLineChars="200"/>
        <w:rPr>
          <w:rFonts w:ascii="仿宋_GB2312" w:eastAsia="仿宋_GB2312"/>
          <w:sz w:val="30"/>
          <w:szCs w:val="30"/>
        </w:rPr>
      </w:pPr>
      <w:r>
        <w:rPr>
          <w:rFonts w:hint="eastAsia" w:ascii="仿宋_GB2312" w:eastAsia="仿宋_GB2312"/>
          <w:sz w:val="30"/>
          <w:szCs w:val="30"/>
        </w:rPr>
        <w:t>3、各班级学生很据学院网站上的综合排名及公示文件在学工系统进行申请</w:t>
      </w:r>
      <w:r>
        <w:rPr>
          <w:rFonts w:hint="eastAsia" w:ascii="仿宋_GB2312" w:eastAsia="仿宋_GB2312"/>
          <w:sz w:val="30"/>
          <w:szCs w:val="30"/>
          <w:lang w:val="en-US" w:eastAsia="zh-CN"/>
        </w:rPr>
        <w:t>奖学金</w:t>
      </w:r>
      <w:r>
        <w:rPr>
          <w:rFonts w:hint="eastAsia" w:ascii="仿宋_GB2312" w:eastAsia="仿宋_GB2312"/>
          <w:sz w:val="30"/>
          <w:szCs w:val="30"/>
        </w:rPr>
        <w:t>，公示文件公示期为5个工作日，之后学院会按最后结果进行审核。</w:t>
      </w:r>
    </w:p>
    <w:p>
      <w:pPr>
        <w:ind w:firstLine="600" w:firstLineChars="200"/>
        <w:rPr>
          <w:rFonts w:hint="eastAsia" w:ascii="仿宋_GB2312" w:eastAsia="仿宋_GB2312"/>
          <w:sz w:val="30"/>
          <w:szCs w:val="30"/>
        </w:rPr>
      </w:pPr>
      <w:r>
        <w:rPr>
          <w:rFonts w:hint="eastAsia" w:ascii="仿宋_GB2312" w:eastAsia="仿宋_GB2312"/>
          <w:sz w:val="30"/>
          <w:szCs w:val="30"/>
        </w:rPr>
        <w:t>4.评优条件</w:t>
      </w:r>
      <w:r>
        <w:rPr>
          <w:rFonts w:ascii="仿宋_GB2312" w:eastAsia="仿宋_GB2312"/>
          <w:sz w:val="30"/>
          <w:szCs w:val="30"/>
        </w:rPr>
        <w:t>达不到</w:t>
      </w:r>
      <w:r>
        <w:rPr>
          <w:rFonts w:hint="eastAsia" w:ascii="仿宋_GB2312" w:eastAsia="仿宋_GB2312"/>
          <w:sz w:val="30"/>
          <w:szCs w:val="30"/>
        </w:rPr>
        <w:t>时班级</w:t>
      </w:r>
      <w:r>
        <w:rPr>
          <w:rFonts w:ascii="仿宋_GB2312" w:eastAsia="仿宋_GB2312"/>
          <w:sz w:val="30"/>
          <w:szCs w:val="30"/>
        </w:rPr>
        <w:t>不</w:t>
      </w:r>
      <w:r>
        <w:rPr>
          <w:rFonts w:hint="eastAsia" w:ascii="仿宋_GB2312" w:eastAsia="仿宋_GB2312"/>
          <w:sz w:val="30"/>
          <w:szCs w:val="30"/>
        </w:rPr>
        <w:t>能</w:t>
      </w:r>
      <w:r>
        <w:rPr>
          <w:rFonts w:ascii="仿宋_GB2312" w:eastAsia="仿宋_GB2312"/>
          <w:sz w:val="30"/>
          <w:szCs w:val="30"/>
        </w:rPr>
        <w:t>自行</w:t>
      </w:r>
      <w:r>
        <w:rPr>
          <w:rFonts w:hint="eastAsia" w:ascii="仿宋_GB2312" w:eastAsia="仿宋_GB2312"/>
          <w:sz w:val="30"/>
          <w:szCs w:val="30"/>
        </w:rPr>
        <w:t>调整</w:t>
      </w:r>
      <w:r>
        <w:rPr>
          <w:rFonts w:ascii="仿宋_GB2312" w:eastAsia="仿宋_GB2312"/>
          <w:sz w:val="30"/>
          <w:szCs w:val="30"/>
        </w:rPr>
        <w:t>标准</w:t>
      </w:r>
      <w:r>
        <w:rPr>
          <w:rFonts w:hint="eastAsia" w:ascii="仿宋_GB2312" w:eastAsia="仿宋_GB2312"/>
          <w:sz w:val="30"/>
          <w:szCs w:val="30"/>
        </w:rPr>
        <w:t>。</w:t>
      </w:r>
    </w:p>
    <w:p>
      <w:pPr>
        <w:ind w:firstLine="600" w:firstLineChars="200"/>
        <w:rPr>
          <w:rFonts w:hint="eastAsia" w:ascii="仿宋_GB2312" w:eastAsia="仿宋_GB2312"/>
          <w:sz w:val="30"/>
          <w:szCs w:val="30"/>
        </w:rPr>
      </w:pPr>
      <w:r>
        <w:rPr>
          <w:rFonts w:hint="eastAsia" w:ascii="仿宋_GB2312" w:eastAsia="仿宋_GB2312"/>
          <w:sz w:val="30"/>
          <w:szCs w:val="30"/>
        </w:rPr>
        <w:t>三、学校提倡获奖学生把奖学金用于帮助学习、交纳学杂费等与学习相关方面。凡无特殊原因欠交学校各种费用者，将暂时停发其各类奖学金。</w:t>
      </w:r>
    </w:p>
    <w:p>
      <w:pPr>
        <w:ind w:firstLine="600" w:firstLineChars="200"/>
        <w:rPr>
          <w:rFonts w:hint="eastAsia" w:ascii="仿宋_GB2312" w:eastAsia="仿宋_GB2312"/>
          <w:sz w:val="30"/>
          <w:szCs w:val="30"/>
        </w:rPr>
      </w:pPr>
      <w:r>
        <w:rPr>
          <w:rFonts w:hint="eastAsia" w:ascii="仿宋_GB2312" w:eastAsia="仿宋_GB2312"/>
          <w:sz w:val="30"/>
          <w:szCs w:val="30"/>
        </w:rPr>
        <w:t>四、本办法最终解释权在人文社会科学学院评优工作组。</w:t>
      </w:r>
    </w:p>
    <w:p>
      <w:pPr>
        <w:spacing w:line="360" w:lineRule="auto"/>
        <w:ind w:firstLine="600" w:firstLineChars="200"/>
        <w:rPr>
          <w:rFonts w:hint="eastAsia" w:ascii="仿宋_GB2312" w:eastAsia="仿宋_GB2312"/>
          <w:sz w:val="30"/>
          <w:szCs w:val="30"/>
        </w:rPr>
      </w:pPr>
    </w:p>
    <w:p>
      <w:pPr>
        <w:spacing w:line="360" w:lineRule="auto"/>
        <w:ind w:firstLine="600" w:firstLineChars="200"/>
        <w:jc w:val="right"/>
        <w:rPr>
          <w:rFonts w:hint="eastAsia" w:ascii="仿宋_GB2312" w:eastAsia="仿宋_GB2312"/>
          <w:sz w:val="30"/>
          <w:szCs w:val="30"/>
        </w:rPr>
      </w:pPr>
      <w:r>
        <w:rPr>
          <w:rFonts w:hint="eastAsia" w:ascii="仿宋_GB2312" w:eastAsia="仿宋_GB2312"/>
          <w:sz w:val="30"/>
          <w:szCs w:val="30"/>
        </w:rPr>
        <w:t>人文社会科学学院评优工作组</w:t>
      </w:r>
    </w:p>
    <w:p>
      <w:pPr>
        <w:spacing w:line="360" w:lineRule="auto"/>
        <w:ind w:firstLine="600" w:firstLineChars="200"/>
        <w:jc w:val="right"/>
        <w:rPr>
          <w:rFonts w:hint="eastAsia" w:ascii="仿宋_GB2312" w:eastAsia="仿宋_GB2312"/>
          <w:sz w:val="30"/>
          <w:szCs w:val="30"/>
        </w:rPr>
      </w:pPr>
      <w:r>
        <w:rPr>
          <w:rFonts w:hint="eastAsia" w:ascii="仿宋_GB2312" w:eastAsia="仿宋_GB2312"/>
          <w:sz w:val="30"/>
          <w:szCs w:val="30"/>
        </w:rPr>
        <w:t>201</w:t>
      </w:r>
      <w:r>
        <w:rPr>
          <w:rFonts w:hint="eastAsia" w:ascii="仿宋_GB2312" w:eastAsia="仿宋_GB2312"/>
          <w:sz w:val="30"/>
          <w:szCs w:val="30"/>
          <w:lang w:val="en-US" w:eastAsia="zh-CN"/>
        </w:rPr>
        <w:t>7</w:t>
      </w:r>
      <w:r>
        <w:rPr>
          <w:rFonts w:hint="eastAsia" w:ascii="仿宋_GB2312" w:eastAsia="仿宋_GB2312"/>
          <w:sz w:val="30"/>
          <w:szCs w:val="30"/>
        </w:rPr>
        <w:t>年</w:t>
      </w:r>
      <w:r>
        <w:rPr>
          <w:rFonts w:hint="eastAsia" w:ascii="仿宋_GB2312" w:eastAsia="仿宋_GB2312"/>
          <w:sz w:val="30"/>
          <w:szCs w:val="30"/>
          <w:lang w:val="en-US" w:eastAsia="zh-CN"/>
        </w:rPr>
        <w:t>10</w:t>
      </w:r>
      <w:r>
        <w:rPr>
          <w:rFonts w:hint="eastAsia" w:ascii="仿宋_GB2312" w:eastAsia="仿宋_GB2312"/>
          <w:sz w:val="30"/>
          <w:szCs w:val="30"/>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A6"/>
    <w:rsid w:val="00217B3C"/>
    <w:rsid w:val="005A05A6"/>
    <w:rsid w:val="0072414F"/>
    <w:rsid w:val="00907E00"/>
    <w:rsid w:val="4A022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人文社会科学学院</Company>
  <Pages>2</Pages>
  <Words>129</Words>
  <Characters>740</Characters>
  <Lines>6</Lines>
  <Paragraphs>1</Paragraphs>
  <ScaleCrop>false</ScaleCrop>
  <LinksUpToDate>false</LinksUpToDate>
  <CharactersWithSpaces>868</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2016-09-23T14:36:00Z</dcterms:created>
  <dc:creator>sunny</dc:creator>
  <cp:lastModifiedBy>WH</cp:lastModifiedBy>
  <dcterms:modified xsi:type="dcterms:W3CDTF">2017-10-08T05:27:13Z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